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1" w:lineRule="auto" w:before="73"/>
        <w:ind w:left="12866" w:right="13"/>
      </w:pPr>
      <w:r>
        <w:rPr/>
        <w:t>Vietos plėtros strategijų atrankos ir įgyvendinimo taisyklių 5 priedas</w:t>
      </w:r>
    </w:p>
    <w:p>
      <w:pPr>
        <w:spacing w:after="0" w:line="261" w:lineRule="auto"/>
        <w:sectPr>
          <w:type w:val="continuous"/>
          <w:pgSz w:w="16840" w:h="11910" w:orient="landscape"/>
          <w:pgMar w:top="1020" w:bottom="280" w:left="900" w:right="1120"/>
        </w:sectPr>
      </w:pPr>
    </w:p>
    <w:p>
      <w:pPr>
        <w:pStyle w:val="BodyText"/>
        <w:spacing w:before="11"/>
        <w:rPr>
          <w:sz w:val="6"/>
        </w:rPr>
      </w:pPr>
    </w:p>
    <w:p>
      <w:pPr>
        <w:spacing w:before="0"/>
        <w:ind w:left="6751" w:right="0" w:firstLine="0"/>
        <w:jc w:val="left"/>
        <w:rPr>
          <w:b/>
          <w:sz w:val="8"/>
        </w:rPr>
      </w:pPr>
      <w:r>
        <w:rPr>
          <w:b/>
          <w:sz w:val="8"/>
        </w:rPr>
        <w:t>(Vietos plėtros projektų sąrašo forma)</w:t>
      </w:r>
    </w:p>
    <w:p>
      <w:pPr>
        <w:pStyle w:val="Heading1"/>
        <w:spacing w:before="31"/>
        <w:ind w:left="6434"/>
      </w:pPr>
      <w:r>
        <w:rPr/>
        <w:pict>
          <v:line style="position:absolute;mso-position-horizontal-relative:page;mso-position-vertical-relative:paragraph;z-index:251659264" from="132.240005pt,7.597963pt" to="687.240022pt,7.597963pt" stroked="true" strokeweight=".359996pt" strokecolor="#000000">
            <v:stroke dashstyle="solid"/>
            <w10:wrap type="none"/>
          </v:line>
        </w:pict>
      </w:r>
      <w:r>
        <w:rPr/>
        <w:t>Marijampolės miesto vietos veiklos grupė</w:t>
      </w:r>
    </w:p>
    <w:p>
      <w:pPr>
        <w:spacing w:before="19"/>
        <w:ind w:left="6348" w:right="0" w:firstLine="0"/>
        <w:jc w:val="left"/>
        <w:rPr>
          <w:i/>
          <w:sz w:val="8"/>
        </w:rPr>
      </w:pPr>
      <w:r>
        <w:rPr>
          <w:i/>
          <w:sz w:val="8"/>
        </w:rPr>
        <w:t>(miesto vietos veiklos grupės (toliau - VVG) pavadinimas)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4"/>
        <w:ind w:left="3883"/>
      </w:pPr>
      <w:r>
        <w:rPr/>
        <w:t>PATVIRTINTA</w:t>
      </w:r>
    </w:p>
    <w:p>
      <w:pPr>
        <w:pStyle w:val="BodyText"/>
        <w:spacing w:line="261" w:lineRule="auto" w:before="10"/>
        <w:ind w:left="3883" w:right="534"/>
      </w:pPr>
      <w:r>
        <w:rPr/>
        <w:t>Marijampolės miesto vietos veiklos grupės valdybos 2020 m. kovo 13 d. sprendimu Nr. 2020/03-13</w:t>
      </w:r>
    </w:p>
    <w:p>
      <w:pPr>
        <w:spacing w:after="0" w:line="261" w:lineRule="auto"/>
        <w:sectPr>
          <w:type w:val="continuous"/>
          <w:pgSz w:w="16840" w:h="11910" w:orient="landscape"/>
          <w:pgMar w:top="1020" w:bottom="280" w:left="900" w:right="1120"/>
          <w:cols w:num="2" w:equalWidth="0">
            <w:col w:w="8240" w:space="40"/>
            <w:col w:w="6540"/>
          </w:cols>
        </w:sectPr>
      </w:pPr>
    </w:p>
    <w:p>
      <w:pPr>
        <w:pStyle w:val="BodyText"/>
        <w:spacing w:before="4"/>
      </w:pPr>
    </w:p>
    <w:p>
      <w:pPr>
        <w:pStyle w:val="Heading1"/>
        <w:jc w:val="center"/>
      </w:pPr>
      <w:r>
        <w:rPr/>
        <w:t>VIETOS</w:t>
      </w:r>
      <w:r>
        <w:rPr>
          <w:spacing w:val="-12"/>
        </w:rPr>
        <w:t> </w:t>
      </w:r>
      <w:r>
        <w:rPr/>
        <w:t>PLĖTROS</w:t>
      </w:r>
      <w:r>
        <w:rPr>
          <w:spacing w:val="-13"/>
        </w:rPr>
        <w:t> </w:t>
      </w:r>
      <w:r>
        <w:rPr/>
        <w:t>PROJEKTŲ</w:t>
      </w:r>
      <w:r>
        <w:rPr>
          <w:spacing w:val="-11"/>
        </w:rPr>
        <w:t> </w:t>
      </w:r>
      <w:r>
        <w:rPr/>
        <w:t>SĄRAŠAS</w:t>
      </w:r>
    </w:p>
    <w:p>
      <w:pPr>
        <w:pStyle w:val="BodyText"/>
        <w:spacing w:before="2"/>
        <w:rPr>
          <w:b/>
          <w:sz w:val="9"/>
        </w:rPr>
      </w:pPr>
    </w:p>
    <w:p>
      <w:pPr>
        <w:tabs>
          <w:tab w:pos="3498" w:val="left" w:leader="none"/>
          <w:tab w:pos="5351" w:val="left" w:leader="none"/>
        </w:tabs>
        <w:spacing w:before="0"/>
        <w:ind w:left="1931" w:right="0" w:firstLine="0"/>
        <w:jc w:val="center"/>
        <w:rPr>
          <w:b/>
          <w:sz w:val="10"/>
        </w:rPr>
      </w:pPr>
      <w:r>
        <w:rPr>
          <w:w w:val="98"/>
          <w:sz w:val="10"/>
          <w:u w:val="single"/>
        </w:rPr>
        <w:t> </w:t>
      </w:r>
      <w:r>
        <w:rPr>
          <w:sz w:val="10"/>
          <w:u w:val="single"/>
        </w:rPr>
        <w:tab/>
      </w:r>
      <w:r>
        <w:rPr>
          <w:b/>
          <w:sz w:val="10"/>
          <w:u w:val="single"/>
        </w:rPr>
        <w:t>NR.</w:t>
      </w:r>
      <w:r>
        <w:rPr>
          <w:b/>
          <w:spacing w:val="-7"/>
          <w:sz w:val="10"/>
          <w:u w:val="single"/>
        </w:rPr>
        <w:t> </w:t>
      </w:r>
      <w:r>
        <w:rPr>
          <w:b/>
          <w:sz w:val="10"/>
          <w:u w:val="single"/>
        </w:rPr>
        <w:t>07</w:t>
        <w:tab/>
      </w:r>
    </w:p>
    <w:p>
      <w:pPr>
        <w:spacing w:before="22" w:after="7"/>
        <w:ind w:left="1922" w:right="0" w:firstLine="0"/>
        <w:jc w:val="center"/>
        <w:rPr>
          <w:i/>
          <w:sz w:val="8"/>
        </w:rPr>
      </w:pPr>
      <w:r>
        <w:rPr>
          <w:i/>
          <w:sz w:val="8"/>
        </w:rPr>
        <w:t>(nurodomas sąrašo numeris)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224"/>
        <w:gridCol w:w="744"/>
        <w:gridCol w:w="4176"/>
        <w:gridCol w:w="2518"/>
        <w:gridCol w:w="900"/>
        <w:gridCol w:w="648"/>
        <w:gridCol w:w="715"/>
        <w:gridCol w:w="693"/>
        <w:gridCol w:w="703"/>
        <w:gridCol w:w="1850"/>
      </w:tblGrid>
      <w:tr>
        <w:trPr>
          <w:trHeight w:val="210" w:hRule="atLeast"/>
        </w:trPr>
        <w:tc>
          <w:tcPr>
            <w:tcW w:w="403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1"/>
              <w:ind w:left="57"/>
              <w:rPr>
                <w:b/>
                <w:sz w:val="9"/>
              </w:rPr>
            </w:pPr>
            <w:r>
              <w:rPr>
                <w:b/>
                <w:sz w:val="9"/>
              </w:rPr>
              <w:t>Eil. Nr.</w:t>
            </w:r>
          </w:p>
        </w:tc>
        <w:tc>
          <w:tcPr>
            <w:tcW w:w="1224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2"/>
              </w:rPr>
            </w:pPr>
          </w:p>
          <w:p>
            <w:pPr>
              <w:pStyle w:val="TableParagraph"/>
              <w:spacing w:line="266" w:lineRule="auto"/>
              <w:ind w:left="170" w:right="87" w:hanging="68"/>
              <w:rPr>
                <w:b/>
                <w:sz w:val="9"/>
              </w:rPr>
            </w:pPr>
            <w:r>
              <w:rPr>
                <w:b/>
                <w:sz w:val="9"/>
              </w:rPr>
              <w:t>Pareiškėjo pavadinimas ir kontaktiniai duomenys</w:t>
            </w:r>
          </w:p>
        </w:tc>
        <w:tc>
          <w:tcPr>
            <w:tcW w:w="744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line="266" w:lineRule="auto" w:before="80"/>
              <w:ind w:left="36" w:right="18" w:firstLine="2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Vietos plėtros projekto (toliau – projektas) preliminarus pavadinimas</w:t>
            </w:r>
          </w:p>
        </w:tc>
        <w:tc>
          <w:tcPr>
            <w:tcW w:w="4176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1"/>
              <w:ind w:left="707"/>
              <w:rPr>
                <w:b/>
                <w:sz w:val="9"/>
              </w:rPr>
            </w:pPr>
            <w:r>
              <w:rPr>
                <w:b/>
                <w:sz w:val="9"/>
              </w:rPr>
              <w:t>Projekto tikslas, uždaviniai, veiklos ir jų fiziniai įgyvendinimo rodikliai</w:t>
            </w:r>
          </w:p>
        </w:tc>
        <w:tc>
          <w:tcPr>
            <w:tcW w:w="2518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1"/>
              <w:ind w:left="417"/>
              <w:rPr>
                <w:b/>
                <w:sz w:val="9"/>
              </w:rPr>
            </w:pPr>
            <w:r>
              <w:rPr>
                <w:b/>
                <w:sz w:val="9"/>
              </w:rPr>
              <w:t>Projekto stebėsenos rodikliai ir jų reikšmės</w:t>
            </w:r>
          </w:p>
        </w:tc>
        <w:tc>
          <w:tcPr>
            <w:tcW w:w="900" w:type="dxa"/>
            <w:vMerge w:val="restart"/>
            <w:shd w:val="clear" w:color="auto" w:fill="D8D8D8"/>
          </w:tcPr>
          <w:p>
            <w:pPr>
              <w:pStyle w:val="TableParagraph"/>
              <w:spacing w:before="11"/>
              <w:rPr>
                <w:i/>
                <w:sz w:val="11"/>
              </w:rPr>
            </w:pPr>
          </w:p>
          <w:p>
            <w:pPr>
              <w:pStyle w:val="TableParagraph"/>
              <w:spacing w:line="266" w:lineRule="auto"/>
              <w:ind w:left="38" w:right="24" w:firstLine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Vietos plėtros strategijos (toliau - strategija) įgyvendinimo veiksmo, kuriam įgyvendinti skirtas projektas, numeris ir pavadinimas</w:t>
            </w:r>
          </w:p>
        </w:tc>
        <w:tc>
          <w:tcPr>
            <w:tcW w:w="2056" w:type="dxa"/>
            <w:gridSpan w:val="3"/>
            <w:shd w:val="clear" w:color="auto" w:fill="D8D8D8"/>
          </w:tcPr>
          <w:p>
            <w:pPr>
              <w:pStyle w:val="TableParagraph"/>
              <w:spacing w:line="97" w:lineRule="exact"/>
              <w:ind w:left="94" w:right="80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Preliminari projekto tinkamų finansuoti išlaidų</w:t>
            </w:r>
          </w:p>
          <w:p>
            <w:pPr>
              <w:pStyle w:val="TableParagraph"/>
              <w:spacing w:line="82" w:lineRule="exact" w:before="11"/>
              <w:ind w:left="94" w:right="79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suma (eurais)</w:t>
            </w:r>
          </w:p>
        </w:tc>
        <w:tc>
          <w:tcPr>
            <w:tcW w:w="703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line="266" w:lineRule="auto" w:before="80"/>
              <w:ind w:left="22" w:right="6" w:hanging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Paraiškos finansuoti projektą pateikimo </w:t>
            </w:r>
            <w:r>
              <w:rPr>
                <w:b/>
                <w:spacing w:val="-1"/>
                <w:sz w:val="9"/>
              </w:rPr>
              <w:t>įgyvendinančiaja </w:t>
            </w:r>
            <w:r>
              <w:rPr>
                <w:b/>
                <w:sz w:val="9"/>
              </w:rPr>
              <w:t>i institucijai terminas</w:t>
            </w:r>
          </w:p>
        </w:tc>
        <w:tc>
          <w:tcPr>
            <w:tcW w:w="1850" w:type="dxa"/>
            <w:vMerge w:val="restart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1"/>
              <w:ind w:left="276"/>
              <w:rPr>
                <w:b/>
                <w:sz w:val="9"/>
              </w:rPr>
            </w:pPr>
            <w:r>
              <w:rPr>
                <w:b/>
                <w:sz w:val="9"/>
              </w:rPr>
              <w:t>Papildomi reikalavimai projektui</w:t>
            </w:r>
          </w:p>
        </w:tc>
      </w:tr>
      <w:tr>
        <w:trPr>
          <w:trHeight w:val="969" w:hRule="atLeast"/>
        </w:trPr>
        <w:tc>
          <w:tcPr>
            <w:tcW w:w="40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3"/>
              <w:rPr>
                <w:i/>
                <w:sz w:val="8"/>
              </w:rPr>
            </w:pPr>
          </w:p>
          <w:p>
            <w:pPr>
              <w:pStyle w:val="TableParagraph"/>
              <w:ind w:left="203"/>
              <w:rPr>
                <w:b/>
                <w:sz w:val="9"/>
              </w:rPr>
            </w:pPr>
            <w:r>
              <w:rPr>
                <w:b/>
                <w:sz w:val="9"/>
              </w:rPr>
              <w:t>Iš viso</w:t>
            </w:r>
          </w:p>
        </w:tc>
        <w:tc>
          <w:tcPr>
            <w:tcW w:w="715" w:type="dxa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2"/>
              <w:rPr>
                <w:i/>
                <w:sz w:val="13"/>
              </w:rPr>
            </w:pPr>
          </w:p>
          <w:p>
            <w:pPr>
              <w:pStyle w:val="TableParagraph"/>
              <w:spacing w:line="266" w:lineRule="auto" w:before="1"/>
              <w:ind w:left="73" w:right="60" w:firstLine="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Projektui suplanuotos skirti paramos lėšos</w:t>
            </w:r>
          </w:p>
        </w:tc>
        <w:tc>
          <w:tcPr>
            <w:tcW w:w="693" w:type="dxa"/>
            <w:shd w:val="clear" w:color="auto" w:fill="D8D8D8"/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3"/>
              <w:rPr>
                <w:i/>
                <w:sz w:val="8"/>
              </w:rPr>
            </w:pPr>
          </w:p>
          <w:p>
            <w:pPr>
              <w:pStyle w:val="TableParagraph"/>
              <w:spacing w:line="266" w:lineRule="auto"/>
              <w:ind w:left="93" w:right="7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Kiti projekto finansavimo šaltiniai</w:t>
            </w: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" w:hRule="atLeast"/>
        </w:trPr>
        <w:tc>
          <w:tcPr>
            <w:tcW w:w="403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1</w:t>
            </w:r>
          </w:p>
        </w:tc>
        <w:tc>
          <w:tcPr>
            <w:tcW w:w="1224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2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2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3</w:t>
            </w:r>
          </w:p>
        </w:tc>
        <w:tc>
          <w:tcPr>
            <w:tcW w:w="4176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3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4</w:t>
            </w:r>
          </w:p>
        </w:tc>
        <w:tc>
          <w:tcPr>
            <w:tcW w:w="2518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5</w:t>
            </w:r>
          </w:p>
        </w:tc>
        <w:tc>
          <w:tcPr>
            <w:tcW w:w="900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6</w:t>
            </w:r>
          </w:p>
        </w:tc>
        <w:tc>
          <w:tcPr>
            <w:tcW w:w="648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7</w:t>
            </w:r>
          </w:p>
        </w:tc>
        <w:tc>
          <w:tcPr>
            <w:tcW w:w="715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1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8</w:t>
            </w:r>
          </w:p>
        </w:tc>
        <w:tc>
          <w:tcPr>
            <w:tcW w:w="693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4"/>
              <w:jc w:val="center"/>
              <w:rPr>
                <w:b/>
                <w:sz w:val="9"/>
              </w:rPr>
            </w:pPr>
            <w:r>
              <w:rPr>
                <w:b/>
                <w:w w:val="101"/>
                <w:sz w:val="9"/>
              </w:rPr>
              <w:t>9</w:t>
            </w:r>
          </w:p>
        </w:tc>
        <w:tc>
          <w:tcPr>
            <w:tcW w:w="703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119" w:right="10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10</w:t>
            </w:r>
          </w:p>
        </w:tc>
        <w:tc>
          <w:tcPr>
            <w:tcW w:w="1850" w:type="dxa"/>
            <w:shd w:val="clear" w:color="auto" w:fill="D8D8D8"/>
          </w:tcPr>
          <w:p>
            <w:pPr>
              <w:pStyle w:val="TableParagraph"/>
              <w:spacing w:line="96" w:lineRule="exact" w:before="8"/>
              <w:ind w:left="862" w:right="848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11</w:t>
            </w:r>
          </w:p>
        </w:tc>
      </w:tr>
      <w:tr>
        <w:trPr>
          <w:trHeight w:val="975" w:hRule="atLeast"/>
        </w:trPr>
        <w:tc>
          <w:tcPr>
            <w:tcW w:w="403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>
            <w:pPr>
              <w:pStyle w:val="TableParagraph"/>
              <w:spacing w:line="266" w:lineRule="auto" w:before="5"/>
              <w:ind w:left="19" w:right="60"/>
              <w:rPr>
                <w:sz w:val="9"/>
              </w:rPr>
            </w:pPr>
            <w:r>
              <w:rPr>
                <w:sz w:val="9"/>
              </w:rPr>
              <w:t>Viešoji įstaiga “Visuomenės ir verslo plėtros institutas” Dariaus ir Girėno skg. 6, Marijampolė</w:t>
            </w:r>
          </w:p>
          <w:p>
            <w:pPr>
              <w:pStyle w:val="TableParagraph"/>
              <w:spacing w:before="2"/>
              <w:ind w:left="19"/>
              <w:rPr>
                <w:sz w:val="9"/>
              </w:rPr>
            </w:pPr>
            <w:r>
              <w:rPr>
                <w:sz w:val="9"/>
              </w:rPr>
              <w:t>+370 643 98771</w:t>
            </w:r>
          </w:p>
          <w:p>
            <w:pPr>
              <w:pStyle w:val="TableParagraph"/>
              <w:spacing w:before="11"/>
              <w:ind w:left="19"/>
              <w:rPr>
                <w:sz w:val="9"/>
              </w:rPr>
            </w:pPr>
            <w:hyperlink r:id="rId5">
              <w:r>
                <w:rPr>
                  <w:sz w:val="9"/>
                </w:rPr>
                <w:t>vvpinstitutas@gmail.com</w:t>
              </w:r>
            </w:hyperlink>
          </w:p>
        </w:tc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line="266" w:lineRule="auto" w:before="5"/>
              <w:ind w:left="55" w:right="39"/>
              <w:jc w:val="center"/>
              <w:rPr>
                <w:sz w:val="9"/>
              </w:rPr>
            </w:pPr>
            <w:r>
              <w:rPr>
                <w:sz w:val="9"/>
              </w:rPr>
              <w:t>Marijampolės karjeras: gerosios patirties vizitai</w:t>
            </w:r>
          </w:p>
        </w:tc>
        <w:tc>
          <w:tcPr>
            <w:tcW w:w="4176" w:type="dxa"/>
            <w:vMerge w:val="restart"/>
          </w:tcPr>
          <w:p>
            <w:pPr>
              <w:pStyle w:val="TableParagraph"/>
              <w:spacing w:line="266" w:lineRule="auto" w:before="5"/>
              <w:ind w:left="19" w:right="425"/>
              <w:rPr>
                <w:sz w:val="9"/>
              </w:rPr>
            </w:pPr>
            <w:r>
              <w:rPr>
                <w:sz w:val="9"/>
              </w:rPr>
              <w:t>Projekto tikslas: Skatinti jaunimo verslumą Marijampolės mieste gerųjų patirčių vizitų pagalba. Projekto uždaviniai: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4" w:val="left" w:leader="none"/>
              </w:tabs>
              <w:spacing w:line="266" w:lineRule="auto" w:before="1" w:after="0"/>
              <w:ind w:left="42" w:right="1656" w:hanging="24"/>
              <w:jc w:val="left"/>
              <w:rPr>
                <w:sz w:val="9"/>
              </w:rPr>
            </w:pPr>
            <w:r>
              <w:rPr>
                <w:sz w:val="9"/>
              </w:rPr>
              <w:t>Skatinti jaunimo verslumą bendradarbiaujant su NVO partneriais Projekto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veiklos: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83" w:val="left" w:leader="none"/>
              </w:tabs>
              <w:spacing w:line="240" w:lineRule="auto" w:before="1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Gerosios patirties vizitas į Kėdainius. (BIVP projektų veiklų dalyviai -</w:t>
            </w:r>
            <w:r>
              <w:rPr>
                <w:spacing w:val="17"/>
                <w:sz w:val="9"/>
              </w:rPr>
              <w:t> </w:t>
            </w:r>
            <w:r>
              <w:rPr>
                <w:sz w:val="9"/>
              </w:rPr>
              <w:t>18)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83" w:val="left" w:leader="none"/>
              </w:tabs>
              <w:spacing w:line="240" w:lineRule="auto" w:before="11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Gerosios patirties vizitas į Druskininkus (BIVP projektų veiklų dalyviai -</w:t>
            </w:r>
            <w:r>
              <w:rPr>
                <w:spacing w:val="16"/>
                <w:sz w:val="9"/>
              </w:rPr>
              <w:t> </w:t>
            </w:r>
            <w:r>
              <w:rPr>
                <w:sz w:val="9"/>
              </w:rPr>
              <w:t>18)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83" w:val="left" w:leader="none"/>
              </w:tabs>
              <w:spacing w:line="240" w:lineRule="auto" w:before="12" w:after="0"/>
              <w:ind w:left="182" w:right="0" w:hanging="164"/>
              <w:jc w:val="left"/>
              <w:rPr>
                <w:sz w:val="9"/>
              </w:rPr>
            </w:pPr>
            <w:r>
              <w:rPr>
                <w:sz w:val="9"/>
              </w:rPr>
              <w:t>Gerosios patirties vizitas į Biržus (BIVP projektų veiklų dalyviai -</w:t>
            </w:r>
            <w:r>
              <w:rPr>
                <w:spacing w:val="15"/>
                <w:sz w:val="9"/>
              </w:rPr>
              <w:t> </w:t>
            </w:r>
            <w:r>
              <w:rPr>
                <w:sz w:val="9"/>
              </w:rPr>
              <w:t>18)</w:t>
            </w:r>
          </w:p>
        </w:tc>
        <w:tc>
          <w:tcPr>
            <w:tcW w:w="251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9"/>
              <w:rPr>
                <w:sz w:val="9"/>
              </w:rPr>
            </w:pPr>
            <w:r>
              <w:rPr>
                <w:sz w:val="9"/>
              </w:rPr>
              <w:t>Priemonės PFSA nurodyti produkto rodikliai:</w:t>
            </w:r>
          </w:p>
          <w:p>
            <w:pPr>
              <w:pStyle w:val="TableParagraph"/>
              <w:spacing w:line="266" w:lineRule="auto" w:before="12"/>
              <w:ind w:left="19"/>
              <w:rPr>
                <w:sz w:val="9"/>
              </w:rPr>
            </w:pPr>
            <w:r>
              <w:rPr>
                <w:sz w:val="9"/>
              </w:rPr>
              <w:t>BIVP projektų veiklų dalyviai (įskaitant visas tikslines grupes) - 36 Projektų, kuriuos visiškai arba iš dalies įgyvendino socialiniai partneriai ar NVO, skaičius - 1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Kiti strategijoje nurodyti produkto rodikliai:</w:t>
            </w:r>
          </w:p>
          <w:p>
            <w:pPr>
              <w:pStyle w:val="TableParagraph"/>
              <w:spacing w:line="266" w:lineRule="auto" w:before="12"/>
              <w:ind w:left="19"/>
              <w:rPr>
                <w:sz w:val="9"/>
              </w:rPr>
            </w:pPr>
            <w:r>
              <w:rPr>
                <w:sz w:val="9"/>
              </w:rPr>
              <w:t>Savanorių, savanoriaujančių socialinio sektoriaus nevyriausybinėje organizacijoje ir neesančių tos</w:t>
            </w:r>
          </w:p>
          <w:p>
            <w:pPr>
              <w:pStyle w:val="TableParagraph"/>
              <w:spacing w:before="1"/>
              <w:ind w:left="19"/>
              <w:rPr>
                <w:sz w:val="9"/>
              </w:rPr>
            </w:pPr>
            <w:r>
              <w:rPr>
                <w:sz w:val="9"/>
              </w:rPr>
              <w:t>organizacijos nariu, skaičius - 3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line="266" w:lineRule="auto" w:before="5"/>
              <w:ind w:left="18" w:right="49"/>
              <w:rPr>
                <w:sz w:val="9"/>
              </w:rPr>
            </w:pPr>
            <w:r>
              <w:rPr>
                <w:sz w:val="9"/>
              </w:rPr>
              <w:t>2.2.2. Verslumo skatinimo priemonių jauniems neaktyviems ir nedirbantiems asmenims įgyvendinimas bendradarbiaujant su kitų miestų VVG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41"/>
              <w:rPr>
                <w:sz w:val="9"/>
              </w:rPr>
            </w:pPr>
            <w:r>
              <w:rPr>
                <w:sz w:val="9"/>
              </w:rPr>
              <w:t>19 150,00</w:t>
            </w:r>
          </w:p>
        </w:tc>
        <w:tc>
          <w:tcPr>
            <w:tcW w:w="715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53" w:right="142"/>
              <w:jc w:val="center"/>
              <w:rPr>
                <w:sz w:val="9"/>
              </w:rPr>
            </w:pPr>
            <w:r>
              <w:rPr>
                <w:sz w:val="9"/>
              </w:rPr>
              <w:t>17 618,00</w:t>
            </w:r>
          </w:p>
        </w:tc>
        <w:tc>
          <w:tcPr>
            <w:tcW w:w="693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88" w:right="76"/>
              <w:jc w:val="center"/>
              <w:rPr>
                <w:sz w:val="9"/>
              </w:rPr>
            </w:pPr>
            <w:r>
              <w:rPr>
                <w:sz w:val="9"/>
              </w:rPr>
              <w:t>1 532,00</w:t>
            </w:r>
          </w:p>
        </w:tc>
        <w:tc>
          <w:tcPr>
            <w:tcW w:w="703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28" w:right="105"/>
              <w:jc w:val="center"/>
              <w:rPr>
                <w:sz w:val="9"/>
              </w:rPr>
            </w:pPr>
            <w:r>
              <w:rPr>
                <w:sz w:val="9"/>
              </w:rPr>
              <w:t>2020-03-31</w:t>
            </w: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spacing w:line="266" w:lineRule="auto" w:before="5"/>
              <w:ind w:left="19" w:right="44" w:hanging="1"/>
              <w:jc w:val="both"/>
              <w:rPr>
                <w:sz w:val="9"/>
              </w:rPr>
            </w:pPr>
            <w:r>
              <w:rPr>
                <w:sz w:val="9"/>
              </w:rPr>
              <w:t>Projektu turi būti suteikta nauda ne mažiau kaip 27 (dvidešimt septyniems) asmenims iš tikslinių grupių.</w:t>
            </w:r>
          </w:p>
        </w:tc>
      </w:tr>
      <w:tr>
        <w:trPr>
          <w:trHeight w:val="2076" w:hRule="atLeast"/>
        </w:trPr>
        <w:tc>
          <w:tcPr>
            <w:tcW w:w="403" w:type="dxa"/>
            <w:tcBorders>
              <w:top w:val="nil"/>
            </w:tcBorders>
          </w:tcPr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rPr>
                <w:i/>
                <w:sz w:val="10"/>
              </w:rPr>
            </w:pPr>
          </w:p>
          <w:p>
            <w:pPr>
              <w:pStyle w:val="TableParagraph"/>
              <w:spacing w:before="8"/>
              <w:rPr>
                <w:i/>
                <w:sz w:val="12"/>
              </w:rPr>
            </w:pPr>
          </w:p>
          <w:p>
            <w:pPr>
              <w:pStyle w:val="TableParagraph"/>
              <w:ind w:left="152" w:right="132"/>
              <w:jc w:val="center"/>
              <w:rPr>
                <w:sz w:val="9"/>
              </w:rPr>
            </w:pPr>
            <w:r>
              <w:rPr>
                <w:sz w:val="9"/>
              </w:rPr>
              <w:t>1.</w:t>
            </w: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>
            <w:pPr>
              <w:pStyle w:val="TableParagraph"/>
              <w:spacing w:before="57"/>
              <w:ind w:left="19"/>
              <w:rPr>
                <w:sz w:val="9"/>
              </w:rPr>
            </w:pPr>
            <w:r>
              <w:rPr>
                <w:sz w:val="9"/>
              </w:rPr>
              <w:t>Strategijoje nurodyti rezultato rodikliai:</w:t>
            </w:r>
          </w:p>
          <w:p>
            <w:pPr>
              <w:pStyle w:val="TableParagraph"/>
              <w:spacing w:line="266" w:lineRule="auto" w:before="11"/>
              <w:ind w:left="19" w:right="94"/>
              <w:rPr>
                <w:sz w:val="9"/>
              </w:rPr>
            </w:pPr>
            <w:r>
              <w:rPr>
                <w:sz w:val="9"/>
              </w:rPr>
              <w:t>Jaunų asmenų (iki 29 m. amžiaus) įregistravusių individualią veiklą skaičius – 10</w:t>
            </w:r>
          </w:p>
          <w:p>
            <w:pPr>
              <w:pStyle w:val="TableParagraph"/>
              <w:spacing w:line="266" w:lineRule="auto" w:before="1"/>
              <w:ind w:left="19"/>
              <w:rPr>
                <w:sz w:val="9"/>
              </w:rPr>
            </w:pPr>
            <w:r>
              <w:rPr>
                <w:sz w:val="9"/>
              </w:rPr>
              <w:t>BIVP projektų veiklų dalyvių, kurių padėtis darbo rinkoje pagerėjo praėjus 6 mėnesiams po dalyvavimo ESF veiklose, dalis – 15.</w:t>
            </w:r>
          </w:p>
          <w:p>
            <w:pPr>
              <w:pStyle w:val="TableParagraph"/>
              <w:spacing w:line="266" w:lineRule="auto" w:before="1"/>
              <w:ind w:left="19"/>
              <w:rPr>
                <w:sz w:val="9"/>
              </w:rPr>
            </w:pPr>
            <w:r>
              <w:rPr>
                <w:sz w:val="9"/>
              </w:rPr>
              <w:t>Kartu su kito miesto VVG bendrai įgyvendintų BIVP projektų skaičius – 1.</w:t>
            </w: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17" w:hRule="atLeast"/>
        </w:trPr>
        <w:tc>
          <w:tcPr>
            <w:tcW w:w="9965" w:type="dxa"/>
            <w:gridSpan w:val="6"/>
            <w:shd w:val="clear" w:color="auto" w:fill="D8D8D8"/>
          </w:tcPr>
          <w:p>
            <w:pPr>
              <w:pStyle w:val="TableParagraph"/>
              <w:spacing w:line="97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IŠ VISO:</w:t>
            </w:r>
          </w:p>
        </w:tc>
        <w:tc>
          <w:tcPr>
            <w:tcW w:w="648" w:type="dxa"/>
          </w:tcPr>
          <w:p>
            <w:pPr>
              <w:pStyle w:val="TableParagraph"/>
              <w:spacing w:line="91" w:lineRule="exact" w:before="5"/>
              <w:ind w:left="146"/>
              <w:rPr>
                <w:sz w:val="9"/>
              </w:rPr>
            </w:pPr>
            <w:r>
              <w:rPr>
                <w:sz w:val="9"/>
              </w:rPr>
              <w:t>19 150,00</w:t>
            </w:r>
          </w:p>
        </w:tc>
        <w:tc>
          <w:tcPr>
            <w:tcW w:w="715" w:type="dxa"/>
          </w:tcPr>
          <w:p>
            <w:pPr>
              <w:pStyle w:val="TableParagraph"/>
              <w:spacing w:line="91" w:lineRule="exact" w:before="5"/>
              <w:ind w:left="158" w:right="138"/>
              <w:jc w:val="center"/>
              <w:rPr>
                <w:sz w:val="9"/>
              </w:rPr>
            </w:pPr>
            <w:r>
              <w:rPr>
                <w:sz w:val="9"/>
              </w:rPr>
              <w:t>17 618,00</w:t>
            </w:r>
          </w:p>
        </w:tc>
        <w:tc>
          <w:tcPr>
            <w:tcW w:w="693" w:type="dxa"/>
          </w:tcPr>
          <w:p>
            <w:pPr>
              <w:pStyle w:val="TableParagraph"/>
              <w:spacing w:line="91" w:lineRule="exact" w:before="5"/>
              <w:ind w:left="93" w:right="72"/>
              <w:jc w:val="center"/>
              <w:rPr>
                <w:sz w:val="9"/>
              </w:rPr>
            </w:pPr>
            <w:r>
              <w:rPr>
                <w:sz w:val="9"/>
              </w:rPr>
              <w:t>1 532,00</w:t>
            </w:r>
          </w:p>
        </w:tc>
        <w:tc>
          <w:tcPr>
            <w:tcW w:w="2553" w:type="dxa"/>
            <w:gridSpan w:val="2"/>
            <w:shd w:val="clear" w:color="auto" w:fill="D8D8D8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pStyle w:val="BodyText"/>
        <w:rPr>
          <w:i/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69.440002pt,12.539989pt" to="549.240021pt,12.539989pt" stroked="true" strokeweight=".360008pt" strokecolor="#000000">
            <v:stroke dashstyle="solid"/>
            <w10:wrap type="topAndBottom"/>
          </v:line>
        </w:pict>
      </w:r>
    </w:p>
    <w:sectPr>
      <w:type w:val="continuous"/>
      <w:pgSz w:w="16840" w:h="11910" w:orient="landscape"/>
      <w:pgMar w:top="1020" w:bottom="280" w:left="9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" w:hanging="9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82" w:hanging="164"/>
        <w:jc w:val="left"/>
      </w:pPr>
      <w:rPr>
        <w:rFonts w:hint="default" w:ascii="Times New Roman" w:hAnsi="Times New Roman" w:eastAsia="Times New Roman" w:cs="Times New Roman"/>
        <w:w w:val="101"/>
        <w:sz w:val="9"/>
        <w:szCs w:val="9"/>
        <w:lang w:val="lt-LT" w:eastAsia="lt-LT" w:bidi="lt-LT"/>
      </w:rPr>
    </w:lvl>
    <w:lvl w:ilvl="2">
      <w:start w:val="0"/>
      <w:numFmt w:val="bullet"/>
      <w:lvlText w:val="•"/>
      <w:lvlJc w:val="left"/>
      <w:pPr>
        <w:ind w:left="622" w:hanging="164"/>
      </w:pPr>
      <w:rPr>
        <w:rFonts w:hint="default"/>
        <w:lang w:val="lt-LT" w:eastAsia="lt-LT" w:bidi="lt-LT"/>
      </w:rPr>
    </w:lvl>
    <w:lvl w:ilvl="3">
      <w:start w:val="0"/>
      <w:numFmt w:val="bullet"/>
      <w:lvlText w:val="•"/>
      <w:lvlJc w:val="left"/>
      <w:pPr>
        <w:ind w:left="1065" w:hanging="164"/>
      </w:pPr>
      <w:rPr>
        <w:rFonts w:hint="default"/>
        <w:lang w:val="lt-LT" w:eastAsia="lt-LT" w:bidi="lt-LT"/>
      </w:rPr>
    </w:lvl>
    <w:lvl w:ilvl="4">
      <w:start w:val="0"/>
      <w:numFmt w:val="bullet"/>
      <w:lvlText w:val="•"/>
      <w:lvlJc w:val="left"/>
      <w:pPr>
        <w:ind w:left="1508" w:hanging="164"/>
      </w:pPr>
      <w:rPr>
        <w:rFonts w:hint="default"/>
        <w:lang w:val="lt-LT" w:eastAsia="lt-LT" w:bidi="lt-LT"/>
      </w:rPr>
    </w:lvl>
    <w:lvl w:ilvl="5">
      <w:start w:val="0"/>
      <w:numFmt w:val="bullet"/>
      <w:lvlText w:val="•"/>
      <w:lvlJc w:val="left"/>
      <w:pPr>
        <w:ind w:left="1951" w:hanging="164"/>
      </w:pPr>
      <w:rPr>
        <w:rFonts w:hint="default"/>
        <w:lang w:val="lt-LT" w:eastAsia="lt-LT" w:bidi="lt-LT"/>
      </w:rPr>
    </w:lvl>
    <w:lvl w:ilvl="6">
      <w:start w:val="0"/>
      <w:numFmt w:val="bullet"/>
      <w:lvlText w:val="•"/>
      <w:lvlJc w:val="left"/>
      <w:pPr>
        <w:ind w:left="2394" w:hanging="164"/>
      </w:pPr>
      <w:rPr>
        <w:rFonts w:hint="default"/>
        <w:lang w:val="lt-LT" w:eastAsia="lt-LT" w:bidi="lt-LT"/>
      </w:rPr>
    </w:lvl>
    <w:lvl w:ilvl="7">
      <w:start w:val="0"/>
      <w:numFmt w:val="bullet"/>
      <w:lvlText w:val="•"/>
      <w:lvlJc w:val="left"/>
      <w:pPr>
        <w:ind w:left="2837" w:hanging="164"/>
      </w:pPr>
      <w:rPr>
        <w:rFonts w:hint="default"/>
        <w:lang w:val="lt-LT" w:eastAsia="lt-LT" w:bidi="lt-LT"/>
      </w:rPr>
    </w:lvl>
    <w:lvl w:ilvl="8">
      <w:start w:val="0"/>
      <w:numFmt w:val="bullet"/>
      <w:lvlText w:val="•"/>
      <w:lvlJc w:val="left"/>
      <w:pPr>
        <w:ind w:left="3280" w:hanging="164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lt-LT" w:bidi="lt-L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lt-LT" w:eastAsia="lt-LT" w:bidi="lt-LT"/>
    </w:rPr>
  </w:style>
  <w:style w:styleId="Heading1" w:type="paragraph">
    <w:name w:val="Heading 1"/>
    <w:basedOn w:val="Normal"/>
    <w:uiPriority w:val="1"/>
    <w:qFormat/>
    <w:pPr>
      <w:ind w:left="397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lt-LT" w:eastAsia="lt-LT" w:bidi="lt-LT"/>
    </w:rPr>
  </w:style>
  <w:style w:styleId="ListParagraph" w:type="paragraph">
    <w:name w:val="List Paragraph"/>
    <w:basedOn w:val="Normal"/>
    <w:uiPriority w:val="1"/>
    <w:qFormat/>
    <w:pPr/>
    <w:rPr>
      <w:lang w:val="lt-LT" w:eastAsia="lt-LT" w:bidi="lt-L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lt-LT" w:eastAsia="lt-LT" w:bidi="lt-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vpinstitutas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ievav</dc:creator>
  <dc:title>5 priedas sarasas 222.xlsx</dc:title>
  <dcterms:created xsi:type="dcterms:W3CDTF">2020-03-17T19:33:18Z</dcterms:created>
  <dcterms:modified xsi:type="dcterms:W3CDTF">2020-03-17T19:33:18Z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</Properties>
</file>